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BC" w:rsidRPr="000B67BC" w:rsidRDefault="000B67BC" w:rsidP="000B67BC">
      <w:pPr>
        <w:jc w:val="both"/>
        <w:rPr>
          <w:rFonts w:ascii="Times New Roman" w:hAnsi="Times New Roman" w:cs="Times New Roman"/>
          <w:sz w:val="28"/>
          <w:szCs w:val="28"/>
        </w:rPr>
      </w:pPr>
      <w:proofErr w:type="gramStart"/>
      <w:r>
        <w:rPr>
          <w:rFonts w:ascii="Times New Roman" w:hAnsi="Times New Roman" w:cs="Times New Roman"/>
          <w:sz w:val="28"/>
          <w:szCs w:val="28"/>
        </w:rPr>
        <w:t>Межрайонная</w:t>
      </w:r>
      <w:proofErr w:type="gramEnd"/>
      <w:r>
        <w:rPr>
          <w:rFonts w:ascii="Times New Roman" w:hAnsi="Times New Roman" w:cs="Times New Roman"/>
          <w:sz w:val="28"/>
          <w:szCs w:val="28"/>
        </w:rPr>
        <w:t xml:space="preserve"> ИФНС России № 22 по Челябинской области информирует о полном п</w:t>
      </w:r>
      <w:r w:rsidRPr="000B67BC">
        <w:rPr>
          <w:rFonts w:ascii="Times New Roman" w:hAnsi="Times New Roman" w:cs="Times New Roman"/>
          <w:sz w:val="28"/>
          <w:szCs w:val="28"/>
        </w:rPr>
        <w:t>ереч</w:t>
      </w:r>
      <w:r>
        <w:rPr>
          <w:rFonts w:ascii="Times New Roman" w:hAnsi="Times New Roman" w:cs="Times New Roman"/>
          <w:sz w:val="28"/>
          <w:szCs w:val="28"/>
        </w:rPr>
        <w:t>не</w:t>
      </w:r>
      <w:r w:rsidRPr="000B67BC">
        <w:rPr>
          <w:rFonts w:ascii="Times New Roman" w:hAnsi="Times New Roman" w:cs="Times New Roman"/>
          <w:sz w:val="28"/>
          <w:szCs w:val="28"/>
        </w:rPr>
        <w:t xml:space="preserve"> государственных услуг ФНС России, предоставляемых в «Многофункциональных центрах предоставления государственных и муниципальных услуг Челябинской области»</w:t>
      </w:r>
    </w:p>
    <w:p w:rsidR="000B67BC" w:rsidRPr="000B67BC" w:rsidRDefault="000B67BC" w:rsidP="000B67BC">
      <w:pPr>
        <w:jc w:val="both"/>
        <w:rPr>
          <w:rFonts w:ascii="Times New Roman" w:hAnsi="Times New Roman" w:cs="Times New Roman"/>
          <w:sz w:val="28"/>
          <w:szCs w:val="28"/>
        </w:rPr>
      </w:pPr>
      <w:bookmarkStart w:id="0" w:name="_GoBack"/>
      <w:r w:rsidRPr="000B67BC">
        <w:rPr>
          <w:rFonts w:ascii="Times New Roman" w:hAnsi="Times New Roman" w:cs="Times New Roman"/>
          <w:sz w:val="28"/>
          <w:szCs w:val="28"/>
        </w:rPr>
        <w:t>Перечень услуг, предоставление которых организуется в МФЦ по принципу «одного окна»:</w:t>
      </w:r>
    </w:p>
    <w:bookmarkEnd w:id="0"/>
    <w:p w:rsidR="000B67BC" w:rsidRPr="000B67BC" w:rsidRDefault="000B67BC" w:rsidP="000B67BC">
      <w:pPr>
        <w:jc w:val="both"/>
        <w:rPr>
          <w:rFonts w:ascii="Times New Roman" w:hAnsi="Times New Roman" w:cs="Times New Roman"/>
          <w:sz w:val="28"/>
          <w:szCs w:val="28"/>
        </w:rPr>
      </w:pPr>
      <w:proofErr w:type="gramStart"/>
      <w:r w:rsidRPr="000B67BC">
        <w:rPr>
          <w:rFonts w:ascii="Times New Roman" w:hAnsi="Times New Roman" w:cs="Times New Roman"/>
          <w:sz w:val="28"/>
          <w:szCs w:val="28"/>
        </w:rPr>
        <w:t>•</w:t>
      </w:r>
      <w:r w:rsidRPr="000B67BC">
        <w:rPr>
          <w:rFonts w:ascii="Times New Roman" w:hAnsi="Times New Roman" w:cs="Times New Roman"/>
          <w:sz w:val="28"/>
          <w:szCs w:val="28"/>
        </w:rPr>
        <w:tab/>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0B67BC">
        <w:rPr>
          <w:rFonts w:ascii="Times New Roman" w:hAnsi="Times New Roman" w:cs="Times New Roman"/>
          <w:sz w:val="28"/>
          <w:szCs w:val="28"/>
        </w:rPr>
        <w:t xml:space="preserve"> </w:t>
      </w:r>
      <w:proofErr w:type="gramStart"/>
      <w:r w:rsidRPr="000B67BC">
        <w:rPr>
          <w:rFonts w:ascii="Times New Roman" w:hAnsi="Times New Roman" w:cs="Times New Roman"/>
          <w:sz w:val="28"/>
          <w:szCs w:val="28"/>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Предоставление заинтересованным лицам сведений, содержащихся в реестре дисквалифицированных лиц.</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0B67BC" w:rsidRPr="000B67BC" w:rsidRDefault="000B67BC" w:rsidP="000B67BC">
      <w:pPr>
        <w:jc w:val="both"/>
        <w:rPr>
          <w:rFonts w:ascii="Times New Roman" w:hAnsi="Times New Roman" w:cs="Times New Roman"/>
          <w:sz w:val="28"/>
          <w:szCs w:val="28"/>
        </w:rPr>
      </w:pPr>
      <w:proofErr w:type="gramStart"/>
      <w:r w:rsidRPr="000B67BC">
        <w:rPr>
          <w:rFonts w:ascii="Times New Roman" w:hAnsi="Times New Roman" w:cs="Times New Roman"/>
          <w:sz w:val="28"/>
          <w:szCs w:val="28"/>
        </w:rPr>
        <w:t>•</w:t>
      </w:r>
      <w:r w:rsidRPr="000B67BC">
        <w:rPr>
          <w:rFonts w:ascii="Times New Roman" w:hAnsi="Times New Roman" w:cs="Times New Roman"/>
          <w:sz w:val="28"/>
          <w:szCs w:val="28"/>
        </w:rPr>
        <w:tab/>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roofErr w:type="gramEnd"/>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lastRenderedPageBreak/>
        <w:t>•</w:t>
      </w:r>
      <w:r w:rsidRPr="000B67BC">
        <w:rPr>
          <w:rFonts w:ascii="Times New Roman" w:hAnsi="Times New Roman" w:cs="Times New Roman"/>
          <w:sz w:val="28"/>
          <w:szCs w:val="28"/>
        </w:rPr>
        <w:tab/>
        <w:t>Прием заявления о доступе к личному кабинету налогоплательщика для физических лиц</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о выдаче налогового уведомления</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уведомления о выбранном земельном участке, в отношении которого применяется налоговый вычет по земельному налогу</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о гибели или уничтожении объекта налогообложения по налогу на имущество физических лиц</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о гибели или уничтожении объекта налогообложения по транспортному налогу</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о прекращении исчисления налога в связи с принудительным изъятием транспортного средства</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заявления на применение патентной системы налогообложения индивидуальным предпринимателем</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lastRenderedPageBreak/>
        <w:t>•</w:t>
      </w:r>
      <w:r w:rsidRPr="000B67BC">
        <w:rPr>
          <w:rFonts w:ascii="Times New Roman" w:hAnsi="Times New Roman" w:cs="Times New Roman"/>
          <w:sz w:val="28"/>
          <w:szCs w:val="28"/>
        </w:rPr>
        <w:tab/>
        <w:t>Прием согласия налогоплательщика, плательщика сбора, плательщика страховых взносов, налогового агента на информирование о наличии задолженности</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запроса о предоставлении справки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запроса о предоставлении справки о принадлежности сумм денежных средств, перечисленных в качестве единого налогового платежа</w:t>
      </w:r>
    </w:p>
    <w:p w:rsidR="000B67BC"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w:t>
      </w:r>
      <w:r w:rsidRPr="000B67BC">
        <w:rPr>
          <w:rFonts w:ascii="Times New Roman" w:hAnsi="Times New Roman" w:cs="Times New Roman"/>
          <w:sz w:val="28"/>
          <w:szCs w:val="28"/>
        </w:rPr>
        <w:tab/>
        <w:t>Прием запроса о предоставлении акта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и формата его представления</w:t>
      </w:r>
    </w:p>
    <w:p w:rsidR="001C02DF" w:rsidRPr="000B67BC" w:rsidRDefault="000B67BC" w:rsidP="000B67BC">
      <w:pPr>
        <w:jc w:val="both"/>
        <w:rPr>
          <w:rFonts w:ascii="Times New Roman" w:hAnsi="Times New Roman" w:cs="Times New Roman"/>
          <w:sz w:val="28"/>
          <w:szCs w:val="28"/>
        </w:rPr>
      </w:pPr>
      <w:r w:rsidRPr="000B67BC">
        <w:rPr>
          <w:rFonts w:ascii="Times New Roman" w:hAnsi="Times New Roman" w:cs="Times New Roman"/>
          <w:sz w:val="28"/>
          <w:szCs w:val="28"/>
        </w:rPr>
        <w:t>Адреса и контактную информацию о МФЦ в Челябинской области можно получить на региональном портале МФЦ   https://mfc-74.ru/services/</w:t>
      </w:r>
    </w:p>
    <w:sectPr w:rsidR="001C02DF" w:rsidRPr="000B6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BC"/>
    <w:rsid w:val="000B67BC"/>
    <w:rsid w:val="001C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Щекаева Елена Александровна</dc:creator>
  <cp:lastModifiedBy>Щекаева Елена Александровна</cp:lastModifiedBy>
  <cp:revision>1</cp:revision>
  <dcterms:created xsi:type="dcterms:W3CDTF">2024-01-15T04:54:00Z</dcterms:created>
  <dcterms:modified xsi:type="dcterms:W3CDTF">2024-01-15T04:57:00Z</dcterms:modified>
</cp:coreProperties>
</file>